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17825" w14:textId="259B3E85" w:rsidR="001E4CE0" w:rsidRDefault="001E4CE0" w:rsidP="001F090D">
      <w:pPr>
        <w:rPr>
          <w:rFonts w:cstheme="minorHAnsi"/>
          <w:b/>
          <w:sz w:val="24"/>
          <w:szCs w:val="24"/>
        </w:rPr>
      </w:pPr>
    </w:p>
    <w:p w14:paraId="117F034B" w14:textId="7CF93E83" w:rsidR="004128E6" w:rsidRDefault="004128E6" w:rsidP="001F090D">
      <w:pPr>
        <w:rPr>
          <w:rFonts w:cstheme="minorHAnsi"/>
          <w:b/>
          <w:sz w:val="24"/>
          <w:szCs w:val="24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59264" behindDoc="1" locked="0" layoutInCell="1" allowOverlap="1" wp14:anchorId="40F069FB" wp14:editId="52E128CA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1943100" cy="771525"/>
            <wp:effectExtent l="0" t="0" r="0" b="9525"/>
            <wp:wrapNone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12E05" w14:textId="3EC115F4" w:rsidR="00AF4A34" w:rsidRDefault="004128E6" w:rsidP="001F09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</w:p>
    <w:p w14:paraId="33438D27" w14:textId="383B3DB5" w:rsidR="00C459A1" w:rsidRPr="004128E6" w:rsidRDefault="00945374" w:rsidP="001F090D">
      <w:pPr>
        <w:rPr>
          <w:rFonts w:cstheme="minorHAnsi"/>
          <w:b/>
          <w:sz w:val="28"/>
          <w:szCs w:val="28"/>
        </w:rPr>
      </w:pPr>
      <w:r>
        <w:rPr>
          <w:rFonts w:ascii="Century Gothic" w:hAnsi="Century Gothic" w:cs="Arial"/>
          <w:noProof/>
          <w:sz w:val="16"/>
          <w:szCs w:val="16"/>
          <w:lang w:val="es-VE" w:eastAsia="es-VE"/>
        </w:rPr>
        <w:drawing>
          <wp:anchor distT="0" distB="0" distL="114300" distR="114300" simplePos="0" relativeHeight="251661312" behindDoc="1" locked="0" layoutInCell="1" allowOverlap="1" wp14:anchorId="39A59749" wp14:editId="2CCCA134">
            <wp:simplePos x="0" y="0"/>
            <wp:positionH relativeFrom="margin">
              <wp:posOffset>-1062681</wp:posOffset>
            </wp:positionH>
            <wp:positionV relativeFrom="paragraph">
              <wp:posOffset>368558</wp:posOffset>
            </wp:positionV>
            <wp:extent cx="13034645" cy="890841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645" cy="890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A34">
        <w:rPr>
          <w:rFonts w:cstheme="minorHAnsi"/>
          <w:b/>
          <w:sz w:val="24"/>
          <w:szCs w:val="24"/>
        </w:rPr>
        <w:t xml:space="preserve">                                                             </w:t>
      </w:r>
      <w:r w:rsidR="004128E6">
        <w:rPr>
          <w:rFonts w:cstheme="minorHAnsi"/>
          <w:b/>
          <w:sz w:val="24"/>
          <w:szCs w:val="24"/>
        </w:rPr>
        <w:t xml:space="preserve"> </w:t>
      </w:r>
      <w:r w:rsidR="00C459A1" w:rsidRPr="004128E6">
        <w:rPr>
          <w:rFonts w:cstheme="minorHAnsi"/>
          <w:b/>
          <w:sz w:val="28"/>
          <w:szCs w:val="28"/>
        </w:rPr>
        <w:t>AVISO DE CONTRATACIONES FUTURAS</w:t>
      </w:r>
    </w:p>
    <w:p w14:paraId="0950F72E" w14:textId="35E25FC0" w:rsidR="004128E6" w:rsidRDefault="004128E6" w:rsidP="00C459A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18AD67A" w14:textId="0D2B5229" w:rsidR="00C459A1" w:rsidRPr="001F090D" w:rsidRDefault="00C459A1" w:rsidP="00C459A1">
      <w:pPr>
        <w:spacing w:line="240" w:lineRule="auto"/>
        <w:jc w:val="both"/>
        <w:rPr>
          <w:rFonts w:cstheme="minorHAnsi"/>
          <w:sz w:val="20"/>
          <w:szCs w:val="20"/>
        </w:rPr>
      </w:pPr>
      <w:r w:rsidRPr="001F090D">
        <w:rPr>
          <w:rFonts w:cstheme="minorHAnsi"/>
          <w:sz w:val="20"/>
          <w:szCs w:val="20"/>
        </w:rPr>
        <w:t xml:space="preserve">EL MINISTERIO DE AGRICULTURA Y GANADERIA (MAG), a través de la </w:t>
      </w:r>
      <w:r w:rsidR="000D54CC" w:rsidRPr="001F090D">
        <w:rPr>
          <w:rFonts w:cstheme="minorHAnsi"/>
          <w:sz w:val="20"/>
          <w:szCs w:val="20"/>
        </w:rPr>
        <w:t xml:space="preserve">DIRECCIÓN DE COMPRAS PÚBLICAS </w:t>
      </w:r>
      <w:r w:rsidRPr="001F090D">
        <w:rPr>
          <w:rFonts w:cstheme="minorHAnsi"/>
          <w:sz w:val="20"/>
          <w:szCs w:val="20"/>
        </w:rPr>
        <w:t>(</w:t>
      </w:r>
      <w:r w:rsidR="000D54CC" w:rsidRPr="001F090D">
        <w:rPr>
          <w:rFonts w:cstheme="minorHAnsi"/>
          <w:sz w:val="20"/>
          <w:szCs w:val="20"/>
        </w:rPr>
        <w:t>DCP</w:t>
      </w:r>
      <w:r w:rsidRPr="001F090D">
        <w:rPr>
          <w:rFonts w:cstheme="minorHAnsi"/>
          <w:sz w:val="20"/>
          <w:szCs w:val="20"/>
        </w:rPr>
        <w:t xml:space="preserve">), </w:t>
      </w:r>
      <w:r w:rsidR="002007B2" w:rsidRPr="001F090D">
        <w:rPr>
          <w:rFonts w:eastAsia="Calibri" w:cstheme="minorHAnsi"/>
          <w:color w:val="00000A"/>
          <w:kern w:val="2"/>
          <w:sz w:val="20"/>
          <w:szCs w:val="20"/>
        </w:rPr>
        <w:t xml:space="preserve">con base en los artículos 9.4 y 9.5 del Tratado de Libre Comercio entre la República Dominicana, Centroamérica y los Estados Unidos (TLC-DR-CAFTA), el artículo 213 del Acuerdo de Asociación entre Centroamérica y la Unión Europea (ADA UE CA), </w:t>
      </w:r>
      <w:r w:rsidR="002007B2" w:rsidRPr="001F090D">
        <w:rPr>
          <w:rFonts w:cstheme="minorHAnsi"/>
          <w:sz w:val="20"/>
          <w:szCs w:val="20"/>
        </w:rPr>
        <w:t>el Tratado de Libre Comercio entre la República de Corea y las Repúblicas de Centroamérica (TLC-CA-COREA),</w:t>
      </w:r>
      <w:r w:rsidR="002007B2" w:rsidRPr="001F090D">
        <w:rPr>
          <w:rFonts w:eastAsia="Calibri" w:cstheme="minorHAnsi"/>
          <w:color w:val="00000A"/>
          <w:kern w:val="2"/>
          <w:sz w:val="20"/>
          <w:szCs w:val="20"/>
        </w:rPr>
        <w:t xml:space="preserve"> </w:t>
      </w:r>
      <w:r w:rsidRPr="001F090D">
        <w:rPr>
          <w:rFonts w:cstheme="minorHAnsi"/>
          <w:sz w:val="20"/>
          <w:szCs w:val="20"/>
        </w:rPr>
        <w:t>informa que tiene previsto para el año 202</w:t>
      </w:r>
      <w:r w:rsidR="001E4CE0">
        <w:rPr>
          <w:rFonts w:cstheme="minorHAnsi"/>
          <w:sz w:val="20"/>
          <w:szCs w:val="20"/>
        </w:rPr>
        <w:t>5</w:t>
      </w:r>
      <w:r w:rsidRPr="001F090D">
        <w:rPr>
          <w:rFonts w:cstheme="minorHAnsi"/>
          <w:sz w:val="20"/>
          <w:szCs w:val="20"/>
        </w:rPr>
        <w:t xml:space="preserve"> efectuar l</w:t>
      </w:r>
      <w:r w:rsidR="001F090D" w:rsidRPr="001F090D">
        <w:rPr>
          <w:rFonts w:cstheme="minorHAnsi"/>
          <w:sz w:val="20"/>
          <w:szCs w:val="20"/>
        </w:rPr>
        <w:t xml:space="preserve">os procesos </w:t>
      </w:r>
      <w:r w:rsidRPr="001F090D">
        <w:rPr>
          <w:rFonts w:cstheme="minorHAnsi"/>
          <w:sz w:val="20"/>
          <w:szCs w:val="20"/>
        </w:rPr>
        <w:t>que se detallan a continuación, para l</w:t>
      </w:r>
      <w:r w:rsidR="001F090D" w:rsidRPr="001F090D">
        <w:rPr>
          <w:rFonts w:cstheme="minorHAnsi"/>
          <w:sz w:val="20"/>
          <w:szCs w:val="20"/>
        </w:rPr>
        <w:t>o</w:t>
      </w:r>
      <w:r w:rsidRPr="001F090D">
        <w:rPr>
          <w:rFonts w:cstheme="minorHAnsi"/>
          <w:sz w:val="20"/>
          <w:szCs w:val="20"/>
        </w:rPr>
        <w:t>s c</w:t>
      </w:r>
      <w:r w:rsidR="00B1430C">
        <w:rPr>
          <w:rFonts w:cstheme="minorHAnsi"/>
          <w:sz w:val="20"/>
          <w:szCs w:val="20"/>
        </w:rPr>
        <w:t>uales se estima que se publicará</w:t>
      </w:r>
      <w:r w:rsidRPr="001F090D">
        <w:rPr>
          <w:rFonts w:cstheme="minorHAnsi"/>
          <w:sz w:val="20"/>
          <w:szCs w:val="20"/>
        </w:rPr>
        <w:t xml:space="preserve">n los avisos  específicos </w:t>
      </w:r>
      <w:r w:rsidR="00CB5805">
        <w:rPr>
          <w:rFonts w:cstheme="minorHAnsi"/>
          <w:sz w:val="20"/>
          <w:szCs w:val="20"/>
        </w:rPr>
        <w:t xml:space="preserve"> a partir d</w:t>
      </w:r>
      <w:r w:rsidRPr="001F090D">
        <w:rPr>
          <w:rFonts w:cstheme="minorHAnsi"/>
          <w:sz w:val="20"/>
          <w:szCs w:val="20"/>
        </w:rPr>
        <w:t xml:space="preserve">el mes </w:t>
      </w:r>
      <w:r w:rsidRPr="009B362E">
        <w:rPr>
          <w:rFonts w:cstheme="minorHAnsi"/>
          <w:sz w:val="20"/>
          <w:szCs w:val="20"/>
        </w:rPr>
        <w:t xml:space="preserve">de </w:t>
      </w:r>
      <w:r w:rsidR="00247C48">
        <w:rPr>
          <w:rFonts w:cstheme="minorHAnsi"/>
          <w:sz w:val="20"/>
          <w:szCs w:val="20"/>
        </w:rPr>
        <w:t>octu</w:t>
      </w:r>
      <w:r w:rsidR="000D54CC" w:rsidRPr="009B362E">
        <w:rPr>
          <w:rFonts w:cstheme="minorHAnsi"/>
          <w:sz w:val="20"/>
          <w:szCs w:val="20"/>
        </w:rPr>
        <w:t>bre</w:t>
      </w:r>
      <w:r w:rsidRPr="001F090D">
        <w:rPr>
          <w:rFonts w:cstheme="minorHAnsi"/>
          <w:sz w:val="20"/>
          <w:szCs w:val="20"/>
        </w:rPr>
        <w:t xml:space="preserve"> de 20</w:t>
      </w:r>
      <w:r w:rsidR="00311FB4" w:rsidRPr="001F090D">
        <w:rPr>
          <w:rFonts w:cstheme="minorHAnsi"/>
          <w:sz w:val="20"/>
          <w:szCs w:val="20"/>
        </w:rPr>
        <w:t>2</w:t>
      </w:r>
      <w:r w:rsidR="001E4CE0">
        <w:rPr>
          <w:rFonts w:cstheme="minorHAnsi"/>
          <w:sz w:val="20"/>
          <w:szCs w:val="20"/>
        </w:rPr>
        <w:t>4</w:t>
      </w:r>
      <w:r w:rsidRPr="001F090D">
        <w:rPr>
          <w:rFonts w:cstheme="minorHAnsi"/>
          <w:sz w:val="20"/>
          <w:szCs w:val="20"/>
        </w:rPr>
        <w:t xml:space="preserve">.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8480"/>
      </w:tblGrid>
      <w:tr w:rsidR="0026026A" w:rsidRPr="00BC5448" w14:paraId="68758B14" w14:textId="77777777" w:rsidTr="00AF4A34">
        <w:trPr>
          <w:trHeight w:val="112"/>
          <w:tblHeader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52E0D6" w14:textId="38BD961D" w:rsidR="0026026A" w:rsidRPr="001F090D" w:rsidRDefault="0026026A" w:rsidP="00AF4A34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  <w:lang w:val="es-SV"/>
              </w:rPr>
            </w:pPr>
            <w:r w:rsidRPr="001F090D">
              <w:rPr>
                <w:rFonts w:cstheme="minorHAnsi"/>
                <w:b/>
                <w:sz w:val="16"/>
                <w:szCs w:val="16"/>
              </w:rPr>
              <w:t>No.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83567" w14:textId="6152088B" w:rsidR="0026026A" w:rsidRPr="001F090D" w:rsidRDefault="0026026A" w:rsidP="00AF4A34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090D">
              <w:rPr>
                <w:rFonts w:cstheme="minorHAnsi"/>
                <w:b/>
                <w:sz w:val="16"/>
                <w:szCs w:val="16"/>
              </w:rPr>
              <w:t>DESCRIPCIÓN</w:t>
            </w:r>
          </w:p>
        </w:tc>
      </w:tr>
      <w:tr w:rsidR="0026026A" w:rsidRPr="00BC5448" w14:paraId="6529F11F" w14:textId="77777777" w:rsidTr="001A5AB0">
        <w:trPr>
          <w:trHeight w:val="10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763B" w14:textId="77777777" w:rsidR="0026026A" w:rsidRPr="001F090D" w:rsidRDefault="0026026A" w:rsidP="00A118E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617E" w14:textId="0D1CAE9A" w:rsidR="0026026A" w:rsidRPr="001F090D" w:rsidRDefault="0026026A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 xml:space="preserve">SERVICIO DE </w:t>
            </w:r>
            <w:r w:rsidR="00BC5448" w:rsidRPr="001F090D">
              <w:rPr>
                <w:rFonts w:cstheme="minorHAnsi"/>
                <w:sz w:val="16"/>
                <w:szCs w:val="16"/>
              </w:rPr>
              <w:t>VIGILANCIA PRIVADA</w:t>
            </w:r>
            <w:r w:rsidRPr="001F090D">
              <w:rPr>
                <w:rFonts w:cstheme="minorHAnsi"/>
                <w:sz w:val="16"/>
                <w:szCs w:val="16"/>
              </w:rPr>
              <w:t xml:space="preserve"> PARA INSTALACIONES </w:t>
            </w:r>
            <w:r w:rsidR="000A0002" w:rsidRPr="001F090D">
              <w:rPr>
                <w:rFonts w:cstheme="minorHAnsi"/>
                <w:sz w:val="16"/>
                <w:szCs w:val="16"/>
              </w:rPr>
              <w:t>Y DEPENDENCIAS</w:t>
            </w:r>
            <w:r w:rsidRPr="001F090D">
              <w:rPr>
                <w:rFonts w:cstheme="minorHAnsi"/>
                <w:sz w:val="16"/>
                <w:szCs w:val="16"/>
              </w:rPr>
              <w:t xml:space="preserve"> DEL MAG</w:t>
            </w:r>
            <w:r w:rsidR="00A118E0" w:rsidRPr="001F090D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6026A" w:rsidRPr="00BC5448" w14:paraId="4AA0D566" w14:textId="77777777" w:rsidTr="001E4CE0">
        <w:trPr>
          <w:trHeight w:val="17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0C07" w14:textId="77777777" w:rsidR="0026026A" w:rsidRPr="001F090D" w:rsidRDefault="0026026A" w:rsidP="00A118E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333F" w14:textId="77777777" w:rsidR="0026026A" w:rsidRPr="001F090D" w:rsidRDefault="0026026A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bCs/>
                <w:sz w:val="16"/>
                <w:szCs w:val="16"/>
                <w:lang w:val="es-ES_tradnl"/>
              </w:rPr>
              <w:t>SERVICIO DE MANTENIMIENTO PREVENTIVO Y CORRECTIVO DE VEHÍCULOS, CAMIONES Y MOTOCICLETAS PROPIEDAD DEL MAG</w:t>
            </w:r>
            <w:r w:rsidR="00A118E0" w:rsidRPr="001F090D">
              <w:rPr>
                <w:rFonts w:cstheme="minorHAnsi"/>
                <w:bCs/>
                <w:sz w:val="16"/>
                <w:szCs w:val="16"/>
                <w:lang w:val="es-ES_tradnl"/>
              </w:rPr>
              <w:t>.</w:t>
            </w:r>
          </w:p>
        </w:tc>
      </w:tr>
      <w:tr w:rsidR="0026026A" w:rsidRPr="00BC5448" w14:paraId="2513FE2C" w14:textId="77777777" w:rsidTr="001E4CE0">
        <w:trPr>
          <w:trHeight w:val="33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77E8" w14:textId="77777777" w:rsidR="0026026A" w:rsidRPr="001F090D" w:rsidRDefault="0026026A" w:rsidP="00A118E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CE8E" w14:textId="6837DE70" w:rsidR="0026026A" w:rsidRPr="001F090D" w:rsidRDefault="001E4CE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SERVICIO DE LIMPIEZA,  JARDINERÍA, MANTENIMIENTO A LA INFRAESTRUCTURA Y VEHÍCULAR</w:t>
            </w:r>
            <w:r w:rsidR="0026026A" w:rsidRPr="001F090D">
              <w:rPr>
                <w:rFonts w:cstheme="minorHAnsi"/>
                <w:sz w:val="16"/>
                <w:szCs w:val="16"/>
              </w:rPr>
              <w:t xml:space="preserve"> PARA EL MAG</w:t>
            </w:r>
            <w:r w:rsidR="00A118E0" w:rsidRPr="001F090D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6026A" w:rsidRPr="00BC5448" w14:paraId="5C896AFA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96A2" w14:textId="77777777" w:rsidR="0026026A" w:rsidRPr="001F090D" w:rsidRDefault="0026026A" w:rsidP="00A118E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849E" w14:textId="2412D2DA" w:rsidR="0026026A" w:rsidRPr="001F090D" w:rsidRDefault="0026026A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color w:val="000000"/>
                <w:sz w:val="16"/>
                <w:szCs w:val="16"/>
              </w:rPr>
              <w:t>SERVICIO DE TRANSPORTE COLECTIVO PARA EMPLEADOS DEL MAG</w:t>
            </w:r>
            <w:r w:rsidR="001A5AB0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26026A" w:rsidRPr="00BC5448" w14:paraId="30BB4FCB" w14:textId="77777777" w:rsidTr="004128E6">
        <w:trPr>
          <w:trHeight w:val="3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E0E6" w14:textId="77777777" w:rsidR="0026026A" w:rsidRPr="001F090D" w:rsidRDefault="0026026A" w:rsidP="00A118E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967F" w14:textId="5FC1039C" w:rsidR="0026026A" w:rsidRPr="001F090D" w:rsidRDefault="0026026A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 xml:space="preserve">SEGUROS PARA AUTOMOTORES, EQUIPOS INFORMÁTICOS MÓVILES, ACTIVOS </w:t>
            </w:r>
            <w:r w:rsidR="00BC5448" w:rsidRPr="001F090D">
              <w:rPr>
                <w:rFonts w:cstheme="minorHAnsi"/>
                <w:sz w:val="16"/>
                <w:szCs w:val="16"/>
              </w:rPr>
              <w:t>BIOLÓGICOS PROPIEDAD</w:t>
            </w:r>
            <w:r w:rsidRPr="001F090D">
              <w:rPr>
                <w:rFonts w:cstheme="minorHAnsi"/>
                <w:sz w:val="16"/>
                <w:szCs w:val="16"/>
              </w:rPr>
              <w:t xml:space="preserve"> DEL MAG Y FIANZAS DE FIDELIDAD PARA FUNCIONARIOS Y EMPLEADOS DEL MAG</w:t>
            </w:r>
            <w:r w:rsidR="00A118E0" w:rsidRPr="001F090D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6026A" w:rsidRPr="00BC5448" w14:paraId="377BBFB0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E76E" w14:textId="77777777" w:rsidR="0026026A" w:rsidRPr="001F090D" w:rsidRDefault="0026026A" w:rsidP="00A118E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1C7" w14:textId="77777777" w:rsidR="0026026A" w:rsidRPr="001F090D" w:rsidRDefault="0026026A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  <w:lang w:eastAsia="ar-SA"/>
              </w:rPr>
              <w:t>SERVICIO DE ARRENDAMIENTO DE FOTOCOPIADORAS MULTIFUNCIONALES</w:t>
            </w:r>
          </w:p>
        </w:tc>
      </w:tr>
      <w:tr w:rsidR="0026026A" w:rsidRPr="00BC5448" w14:paraId="677A664B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8819" w14:textId="77777777" w:rsidR="0026026A" w:rsidRPr="001F090D" w:rsidRDefault="0026026A" w:rsidP="00A118E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3A9" w14:textId="77777777" w:rsidR="0026026A" w:rsidRPr="001F090D" w:rsidRDefault="0026026A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  <w:lang w:eastAsia="ar-SA"/>
              </w:rPr>
              <w:t>SERVICIO DE INTERNET Y TELEFONÍA FIJA Y MÓVIL PARA EL MAG</w:t>
            </w:r>
            <w:r w:rsidR="00A118E0" w:rsidRPr="001F090D">
              <w:rPr>
                <w:rFonts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26026A" w:rsidRPr="00BC5448" w14:paraId="3E621B0F" w14:textId="77777777" w:rsidTr="001A5AB0">
        <w:trPr>
          <w:trHeight w:val="1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B86" w14:textId="77777777" w:rsidR="0026026A" w:rsidRPr="001F090D" w:rsidRDefault="0026026A" w:rsidP="00A118E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C52" w14:textId="77777777" w:rsidR="0026026A" w:rsidRPr="001F090D" w:rsidRDefault="0026026A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SERVICIO DE MONITOREO SATELITAL PARA LA FLOTA VEHICULA</w:t>
            </w:r>
            <w:r w:rsidR="00424F8D" w:rsidRPr="001F090D">
              <w:rPr>
                <w:rFonts w:cstheme="minorHAnsi"/>
                <w:sz w:val="16"/>
                <w:szCs w:val="16"/>
              </w:rPr>
              <w:t>R</w:t>
            </w:r>
            <w:r w:rsidRPr="001F090D">
              <w:rPr>
                <w:rFonts w:cstheme="minorHAnsi"/>
                <w:sz w:val="16"/>
                <w:szCs w:val="16"/>
              </w:rPr>
              <w:t xml:space="preserve"> DEL MAG</w:t>
            </w:r>
            <w:r w:rsidR="00A118E0" w:rsidRPr="001F090D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1A5AB0" w:rsidRPr="00BC5448" w14:paraId="45AEA271" w14:textId="77777777" w:rsidTr="001A5AB0">
        <w:trPr>
          <w:trHeight w:val="1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120A" w14:textId="384D2571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099" w14:textId="4273F615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ERVICIO</w:t>
            </w:r>
            <w:r w:rsidRPr="001F090D">
              <w:rPr>
                <w:rFonts w:cstheme="minorHAnsi"/>
                <w:sz w:val="16"/>
                <w:szCs w:val="16"/>
              </w:rPr>
              <w:t xml:space="preserve"> DE TRANSPORTE DE INSUMOS AGRÍCOLAS</w:t>
            </w:r>
          </w:p>
        </w:tc>
      </w:tr>
      <w:tr w:rsidR="001A5AB0" w:rsidRPr="00BC5448" w14:paraId="2B54868C" w14:textId="77777777" w:rsidTr="001A5AB0">
        <w:trPr>
          <w:trHeight w:val="1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28D" w14:textId="20C25D79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630" w14:textId="2789A89F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GIFT CARD PARA EMPLEADOS DEL MAG.</w:t>
            </w:r>
          </w:p>
        </w:tc>
      </w:tr>
      <w:tr w:rsidR="001A5AB0" w:rsidRPr="00BC5448" w14:paraId="63CE258B" w14:textId="77777777" w:rsidTr="001A5AB0">
        <w:trPr>
          <w:trHeight w:val="1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6A1" w14:textId="26240F1E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7C3" w14:textId="055453F6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COMBUSTIBLE PARA LA FLOTA VEHICULAR DEL MAG.</w:t>
            </w:r>
          </w:p>
        </w:tc>
      </w:tr>
      <w:tr w:rsidR="001A5AB0" w:rsidRPr="00BC5448" w14:paraId="491AA570" w14:textId="77777777" w:rsidTr="001A5AB0">
        <w:trPr>
          <w:trHeight w:val="28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404D" w14:textId="43A71D54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BF03" w14:textId="7777777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PAPEL BOND, ARTÍCULOS DE OFICINA Y CONSUMIBLES DE INFORMÁTICA PARA EL MAG.</w:t>
            </w:r>
          </w:p>
        </w:tc>
      </w:tr>
      <w:tr w:rsidR="001A5AB0" w:rsidRPr="00BC5448" w14:paraId="7892BEDC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13E" w14:textId="592CE589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7C0D" w14:textId="1418411E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ar-SA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EQUIPOS, MATERIAL E INSTRUMENTAL PARA LABORATORIO Y USO MÉDICO</w:t>
            </w:r>
          </w:p>
        </w:tc>
      </w:tr>
      <w:tr w:rsidR="001A5AB0" w:rsidRPr="00BC5448" w14:paraId="3DAF60BC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A58" w14:textId="6F79B6A7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0584" w14:textId="7777777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ar-SA"/>
              </w:rPr>
            </w:pPr>
            <w:r w:rsidRPr="001F090D">
              <w:rPr>
                <w:rFonts w:cstheme="minorHAnsi"/>
                <w:sz w:val="16"/>
                <w:szCs w:val="16"/>
                <w:lang w:eastAsia="ar-SA"/>
              </w:rPr>
              <w:t>SUMINISTRO DE REACTIVOS DE LABORATORIO Y DE USO MÉDICO</w:t>
            </w:r>
          </w:p>
        </w:tc>
      </w:tr>
      <w:tr w:rsidR="001A5AB0" w:rsidRPr="00BC5448" w14:paraId="22C290B3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E697" w14:textId="4491C1A5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DD9D" w14:textId="7777777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ar-SA"/>
              </w:rPr>
            </w:pPr>
            <w:r w:rsidRPr="001F090D">
              <w:rPr>
                <w:rFonts w:cstheme="minorHAnsi"/>
                <w:sz w:val="16"/>
                <w:szCs w:val="16"/>
                <w:lang w:eastAsia="ar-SA"/>
              </w:rPr>
              <w:t>SUMINISTRO DE PRODUCTOS FARMACÉUTICOS Y MEDICINALES DE USO VETERINARIO</w:t>
            </w:r>
          </w:p>
        </w:tc>
      </w:tr>
      <w:tr w:rsidR="001A5AB0" w:rsidRPr="00BC5448" w14:paraId="482848D8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F381" w14:textId="7B462933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527D" w14:textId="7777777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ar-SA"/>
              </w:rPr>
            </w:pPr>
            <w:r w:rsidRPr="001F090D">
              <w:rPr>
                <w:rFonts w:cstheme="minorHAnsi"/>
                <w:sz w:val="16"/>
                <w:szCs w:val="16"/>
                <w:lang w:eastAsia="ar-SA"/>
              </w:rPr>
              <w:t>SUMINISTRO DE PRODUCTOS AGROPECUARIOS, FORESTALES Y SIMILARES</w:t>
            </w:r>
          </w:p>
        </w:tc>
      </w:tr>
      <w:tr w:rsidR="001A5AB0" w:rsidRPr="00BC5448" w14:paraId="70FF6B38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7297" w14:textId="2B92E857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E8D1" w14:textId="7777777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  <w:lang w:eastAsia="ar-SA"/>
              </w:rPr>
              <w:t>SUMINISTRO DE EQUIPO INFORMÁTICO PARA EL MAG.</w:t>
            </w:r>
          </w:p>
        </w:tc>
      </w:tr>
      <w:tr w:rsidR="001A5AB0" w:rsidRPr="00BC5448" w14:paraId="402BE750" w14:textId="77777777" w:rsidTr="001A5AB0">
        <w:trPr>
          <w:trHeight w:val="1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69F" w14:textId="0C4543B4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FE3B" w14:textId="7777777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ALIMENTOS PARA ANIMALES</w:t>
            </w:r>
          </w:p>
        </w:tc>
      </w:tr>
      <w:tr w:rsidR="001A5AB0" w:rsidRPr="00BC5448" w14:paraId="486B04C7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C5A5" w14:textId="21596665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620" w14:textId="59311B62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HERRAMIENTAS, MATERIALES ELÉCTRICOS Y MISCELANEOS DE FERRETERÍA</w:t>
            </w:r>
          </w:p>
        </w:tc>
      </w:tr>
      <w:tr w:rsidR="001A5AB0" w:rsidRPr="00BC5448" w14:paraId="00212D30" w14:textId="77777777" w:rsidTr="001A5AB0">
        <w:trPr>
          <w:trHeight w:val="4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2740" w14:textId="63360BF8" w:rsidR="001A5AB0" w:rsidRPr="001F090D" w:rsidRDefault="00137507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9DBD" w14:textId="5232741B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highlight w:val="green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MAQUINARIA Y EQUIPO PARA EL MAG.</w:t>
            </w:r>
          </w:p>
        </w:tc>
      </w:tr>
    </w:tbl>
    <w:p w14:paraId="6F94CA3F" w14:textId="3A1FD543" w:rsidR="004128E6" w:rsidRDefault="004128E6"/>
    <w:p w14:paraId="72454746" w14:textId="66CC43C2" w:rsidR="004128E6" w:rsidRDefault="004128E6"/>
    <w:p w14:paraId="45506914" w14:textId="38DC0AEB" w:rsidR="004128E6" w:rsidRDefault="004128E6"/>
    <w:p w14:paraId="6C9BAD5D" w14:textId="76CCD463" w:rsidR="004128E6" w:rsidRDefault="00945374">
      <w:r>
        <w:rPr>
          <w:rFonts w:ascii="Century Gothic" w:hAnsi="Century Gothic" w:cs="Arial"/>
          <w:noProof/>
          <w:sz w:val="16"/>
          <w:szCs w:val="16"/>
          <w:lang w:val="es-VE" w:eastAsia="es-VE"/>
        </w:rPr>
        <w:drawing>
          <wp:anchor distT="0" distB="0" distL="114300" distR="114300" simplePos="0" relativeHeight="251663360" behindDoc="1" locked="0" layoutInCell="1" allowOverlap="1" wp14:anchorId="4B072D2A" wp14:editId="4CD5E59C">
            <wp:simplePos x="0" y="0"/>
            <wp:positionH relativeFrom="page">
              <wp:align>left</wp:align>
            </wp:positionH>
            <wp:positionV relativeFrom="paragraph">
              <wp:posOffset>430251</wp:posOffset>
            </wp:positionV>
            <wp:extent cx="13034645" cy="9290304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645" cy="929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DCCD" w14:textId="18D9CE52" w:rsidR="004128E6" w:rsidRDefault="004128E6"/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8480"/>
      </w:tblGrid>
      <w:tr w:rsidR="001A5AB0" w:rsidRPr="00BC5448" w14:paraId="550633A2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8BA0" w14:textId="5424AAE2" w:rsidR="001A5AB0" w:rsidRPr="001F090D" w:rsidRDefault="001A5AB0" w:rsidP="00C04FBA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C04FB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9C8" w14:textId="6398FDF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UNIFORMES PARA EMPLEADOS DEL MAG.</w:t>
            </w:r>
          </w:p>
        </w:tc>
      </w:tr>
      <w:tr w:rsidR="001A5AB0" w:rsidRPr="00BC5448" w14:paraId="546563D2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AFEE" w14:textId="49868F5D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4BF" w14:textId="6BE51EF2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AIRES ACONDICIONADOS</w:t>
            </w:r>
          </w:p>
        </w:tc>
      </w:tr>
      <w:tr w:rsidR="001A5AB0" w:rsidRPr="00BC5448" w14:paraId="5E06EF93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405C" w14:textId="73305DC7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F7CC" w14:textId="4FE11E94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LLANTAS PARA LA FLOTA VEHICULAR DEL MAG.</w:t>
            </w:r>
          </w:p>
        </w:tc>
      </w:tr>
      <w:tr w:rsidR="001A5AB0" w:rsidRPr="00BC5448" w14:paraId="3BBC5081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C985" w14:textId="1D57FDAE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DB77" w14:textId="73F6B6BD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VEHÍCULOS</w:t>
            </w:r>
            <w:r w:rsidR="004128E6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1A5AB0" w:rsidRPr="00BC5448" w14:paraId="3D8393D5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2A66" w14:textId="6F9D25DA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41C" w14:textId="186484A5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ALIMENTOS PARA PERSONAS</w:t>
            </w:r>
          </w:p>
        </w:tc>
      </w:tr>
      <w:tr w:rsidR="001A5AB0" w:rsidRPr="00BC5448" w14:paraId="4265DCD1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EE12" w14:textId="674B92A3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8B9" w14:textId="2B9EEA7F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EQUIPOS Y APEROS PARA LA PESCA ARTESANAL</w:t>
            </w:r>
          </w:p>
        </w:tc>
      </w:tr>
      <w:tr w:rsidR="001A5AB0" w:rsidRPr="00BC5448" w14:paraId="12C385BB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CD3" w14:textId="1BAA2E53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EC3" w14:textId="0A96C8C8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MOBILIARIO DE OFICINA</w:t>
            </w:r>
          </w:p>
        </w:tc>
      </w:tr>
      <w:tr w:rsidR="001A5AB0" w:rsidRPr="00BC5448" w14:paraId="0A116D57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8C56" w14:textId="20EE516D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AB10" w14:textId="55A14E70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 xml:space="preserve">SUMINISTRO DE REPRODUCTORES DE TILAPIA </w:t>
            </w:r>
          </w:p>
        </w:tc>
      </w:tr>
      <w:tr w:rsidR="001A5AB0" w:rsidRPr="00BC5448" w14:paraId="73088EF5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2F88" w14:textId="6560324E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2484" w14:textId="205AA7C4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 xml:space="preserve">SUMINISTRO </w:t>
            </w:r>
            <w:r w:rsidR="001E4CE0">
              <w:rPr>
                <w:rFonts w:cstheme="minorHAnsi"/>
                <w:sz w:val="16"/>
                <w:szCs w:val="16"/>
              </w:rPr>
              <w:t xml:space="preserve">CERTIFICADA </w:t>
            </w:r>
            <w:r w:rsidRPr="001F090D">
              <w:rPr>
                <w:rFonts w:cstheme="minorHAnsi"/>
                <w:sz w:val="16"/>
                <w:szCs w:val="16"/>
              </w:rPr>
              <w:t>DE SEMILLA DE MAÍZ BLANCO</w:t>
            </w:r>
          </w:p>
        </w:tc>
      </w:tr>
      <w:tr w:rsidR="001A5AB0" w:rsidRPr="00BC5448" w14:paraId="7073BB72" w14:textId="77777777" w:rsidTr="001A5AB0">
        <w:trPr>
          <w:trHeight w:val="23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4971" w14:textId="2D5AC246" w:rsidR="001A5AB0" w:rsidRPr="001F090D" w:rsidRDefault="001A5AB0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C04FB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A71" w14:textId="7777777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SEMILLA DE FRIJOL ROJO</w:t>
            </w:r>
          </w:p>
        </w:tc>
      </w:tr>
      <w:tr w:rsidR="001A5AB0" w:rsidRPr="00BC5448" w14:paraId="48C1CEBC" w14:textId="77777777" w:rsidTr="001A5AB0">
        <w:trPr>
          <w:trHeight w:val="2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1EC" w14:textId="045FB4A1" w:rsidR="001A5AB0" w:rsidRPr="001F090D" w:rsidRDefault="001A5AB0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C04FB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77CD" w14:textId="77777777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FERTILIZANTES</w:t>
            </w:r>
          </w:p>
        </w:tc>
      </w:tr>
      <w:tr w:rsidR="001A5AB0" w:rsidRPr="00BC5448" w14:paraId="15B219F1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795A" w14:textId="751209A7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20EF" w14:textId="77777777" w:rsidR="001A5AB0" w:rsidRPr="001F090D" w:rsidRDefault="001A5AB0" w:rsidP="001E4CE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PRODUCTOS QUÍMICOS</w:t>
            </w:r>
          </w:p>
          <w:p w14:paraId="1F6C3821" w14:textId="058EF38A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(INSECTICIDA FOLIAR, TRATADOR DE SEMILLA, FUNGICIDA FOLIAR, ENTRE OTROS)</w:t>
            </w:r>
          </w:p>
        </w:tc>
      </w:tr>
      <w:tr w:rsidR="001A5AB0" w:rsidRPr="00BC5448" w14:paraId="5F1D0E20" w14:textId="77777777" w:rsidTr="001A5AB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89CB" w14:textId="5F5C90DF" w:rsidR="001A5AB0" w:rsidRPr="001F090D" w:rsidRDefault="00C04FBA" w:rsidP="001A5AB0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D2FD" w14:textId="5624A80E" w:rsidR="001A5AB0" w:rsidRPr="001F090D" w:rsidRDefault="001A5AB0" w:rsidP="001E4CE0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90D">
              <w:rPr>
                <w:rFonts w:cstheme="minorHAnsi"/>
                <w:sz w:val="16"/>
                <w:szCs w:val="16"/>
              </w:rPr>
              <w:t>SUMINISTRO DE SACOS PARA SEMILLAS</w:t>
            </w:r>
          </w:p>
        </w:tc>
      </w:tr>
    </w:tbl>
    <w:p w14:paraId="2AC39223" w14:textId="77777777" w:rsidR="001E4CE0" w:rsidRDefault="001E4CE0" w:rsidP="00C459A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CF1D25E" w14:textId="1B326FF5" w:rsidR="00C459A1" w:rsidRPr="001F090D" w:rsidRDefault="00C459A1" w:rsidP="00C459A1">
      <w:pPr>
        <w:spacing w:line="240" w:lineRule="auto"/>
        <w:jc w:val="both"/>
        <w:rPr>
          <w:rFonts w:cstheme="minorHAnsi"/>
          <w:sz w:val="20"/>
          <w:szCs w:val="20"/>
        </w:rPr>
      </w:pPr>
      <w:r w:rsidRPr="001F090D">
        <w:rPr>
          <w:rFonts w:cstheme="minorHAnsi"/>
          <w:sz w:val="20"/>
          <w:szCs w:val="20"/>
        </w:rPr>
        <w:t xml:space="preserve">En su oportunidad, para cada </w:t>
      </w:r>
      <w:r w:rsidR="001F090D" w:rsidRPr="001F090D">
        <w:rPr>
          <w:rFonts w:cstheme="minorHAnsi"/>
          <w:sz w:val="20"/>
          <w:szCs w:val="20"/>
        </w:rPr>
        <w:t xml:space="preserve">proceso </w:t>
      </w:r>
      <w:r w:rsidRPr="001F090D">
        <w:rPr>
          <w:rFonts w:cstheme="minorHAnsi"/>
          <w:sz w:val="20"/>
          <w:szCs w:val="20"/>
        </w:rPr>
        <w:t xml:space="preserve">el Ministerio de Agricultura y Ganadería, publicará el aviso de especifico con información sobre cada proceso, en </w:t>
      </w:r>
      <w:r w:rsidR="004B28E3" w:rsidRPr="001F090D">
        <w:rPr>
          <w:rFonts w:cstheme="minorHAnsi"/>
          <w:sz w:val="20"/>
          <w:szCs w:val="20"/>
        </w:rPr>
        <w:t>la página</w:t>
      </w:r>
      <w:r w:rsidRPr="001F090D">
        <w:rPr>
          <w:rFonts w:cstheme="minorHAnsi"/>
          <w:sz w:val="20"/>
          <w:szCs w:val="20"/>
        </w:rPr>
        <w:t xml:space="preserve">: </w:t>
      </w:r>
      <w:hyperlink r:id="rId9" w:history="1">
        <w:r w:rsidRPr="001F090D">
          <w:rPr>
            <w:rStyle w:val="Hipervnculo"/>
            <w:rFonts w:cstheme="minorHAnsi"/>
            <w:sz w:val="20"/>
            <w:szCs w:val="20"/>
          </w:rPr>
          <w:t>www.mag.gob.sv</w:t>
        </w:r>
      </w:hyperlink>
      <w:r w:rsidRPr="001F090D">
        <w:rPr>
          <w:rFonts w:cstheme="minorHAnsi"/>
          <w:color w:val="0000FF"/>
          <w:sz w:val="20"/>
          <w:szCs w:val="20"/>
          <w:u w:val="single"/>
        </w:rPr>
        <w:t>;</w:t>
      </w:r>
      <w:r w:rsidRPr="001F090D">
        <w:rPr>
          <w:rFonts w:cstheme="minorHAnsi"/>
          <w:sz w:val="20"/>
          <w:szCs w:val="20"/>
        </w:rPr>
        <w:t xml:space="preserve"> así como en </w:t>
      </w:r>
      <w:r w:rsidR="004B28E3" w:rsidRPr="001F090D">
        <w:rPr>
          <w:rFonts w:cstheme="minorHAnsi"/>
          <w:sz w:val="20"/>
          <w:szCs w:val="20"/>
        </w:rPr>
        <w:t>uno de los</w:t>
      </w:r>
      <w:r w:rsidRPr="001F090D">
        <w:rPr>
          <w:rFonts w:cstheme="minorHAnsi"/>
          <w:sz w:val="20"/>
          <w:szCs w:val="20"/>
        </w:rPr>
        <w:t xml:space="preserve"> periódicos de mayor circulación en el país. El plazo para presentación de ofertas que se otorgará para cada </w:t>
      </w:r>
      <w:r w:rsidR="001F090D" w:rsidRPr="001F090D">
        <w:rPr>
          <w:rFonts w:cstheme="minorHAnsi"/>
          <w:sz w:val="20"/>
          <w:szCs w:val="20"/>
        </w:rPr>
        <w:t xml:space="preserve">uno de los </w:t>
      </w:r>
      <w:r w:rsidRPr="001F090D">
        <w:rPr>
          <w:rFonts w:cstheme="minorHAnsi"/>
          <w:sz w:val="20"/>
          <w:szCs w:val="20"/>
        </w:rPr>
        <w:t>proceso</w:t>
      </w:r>
      <w:r w:rsidR="001F090D" w:rsidRPr="001F090D">
        <w:rPr>
          <w:rFonts w:cstheme="minorHAnsi"/>
          <w:sz w:val="20"/>
          <w:szCs w:val="20"/>
        </w:rPr>
        <w:t>s</w:t>
      </w:r>
      <w:r w:rsidRPr="001F090D">
        <w:rPr>
          <w:rFonts w:cstheme="minorHAnsi"/>
          <w:sz w:val="20"/>
          <w:szCs w:val="20"/>
        </w:rPr>
        <w:t xml:space="preserve"> </w:t>
      </w:r>
      <w:r w:rsidR="00BC5448" w:rsidRPr="001F090D">
        <w:rPr>
          <w:rFonts w:cstheme="minorHAnsi"/>
          <w:sz w:val="20"/>
          <w:szCs w:val="20"/>
        </w:rPr>
        <w:t xml:space="preserve">podrá </w:t>
      </w:r>
      <w:r w:rsidRPr="001F090D">
        <w:rPr>
          <w:rFonts w:cstheme="minorHAnsi"/>
          <w:sz w:val="20"/>
          <w:szCs w:val="20"/>
        </w:rPr>
        <w:t xml:space="preserve">oscilar entre </w:t>
      </w:r>
      <w:r w:rsidR="00BC5448" w:rsidRPr="001F090D">
        <w:rPr>
          <w:rFonts w:cstheme="minorHAnsi"/>
          <w:sz w:val="20"/>
          <w:szCs w:val="20"/>
        </w:rPr>
        <w:t>5</w:t>
      </w:r>
      <w:r w:rsidRPr="001F090D">
        <w:rPr>
          <w:rFonts w:cstheme="minorHAnsi"/>
          <w:sz w:val="20"/>
          <w:szCs w:val="20"/>
        </w:rPr>
        <w:t xml:space="preserve"> y 15 días calendario posteriores a la fecha de publicación del aviso específico.</w:t>
      </w:r>
    </w:p>
    <w:p w14:paraId="24204405" w14:textId="7920E327" w:rsidR="00C459A1" w:rsidRPr="001F090D" w:rsidRDefault="00C459A1" w:rsidP="00C459A1">
      <w:pPr>
        <w:spacing w:line="240" w:lineRule="auto"/>
        <w:jc w:val="both"/>
        <w:rPr>
          <w:rFonts w:cstheme="minorHAnsi"/>
          <w:sz w:val="20"/>
          <w:szCs w:val="20"/>
        </w:rPr>
      </w:pPr>
      <w:r w:rsidRPr="001F090D">
        <w:rPr>
          <w:rFonts w:cstheme="minorHAnsi"/>
          <w:sz w:val="20"/>
          <w:szCs w:val="20"/>
        </w:rPr>
        <w:t>En cada aviso específico que sea publicado, se definirá la fecha</w:t>
      </w:r>
      <w:r w:rsidR="000D54CC" w:rsidRPr="001F090D">
        <w:rPr>
          <w:rFonts w:cstheme="minorHAnsi"/>
          <w:sz w:val="20"/>
          <w:szCs w:val="20"/>
        </w:rPr>
        <w:t xml:space="preserve"> de</w:t>
      </w:r>
      <w:r w:rsidRPr="001F090D">
        <w:rPr>
          <w:rFonts w:cstheme="minorHAnsi"/>
          <w:sz w:val="20"/>
          <w:szCs w:val="20"/>
        </w:rPr>
        <w:t xml:space="preserve"> recepción y apertura de ofertas.</w:t>
      </w:r>
    </w:p>
    <w:p w14:paraId="76E8857F" w14:textId="3E4724A4" w:rsidR="000D54CC" w:rsidRPr="001F090D" w:rsidRDefault="00C459A1" w:rsidP="000D54CC">
      <w:pPr>
        <w:spacing w:line="240" w:lineRule="auto"/>
        <w:jc w:val="both"/>
        <w:rPr>
          <w:rFonts w:cstheme="minorHAnsi"/>
          <w:sz w:val="20"/>
          <w:szCs w:val="20"/>
          <w:u w:val="single"/>
        </w:rPr>
      </w:pPr>
      <w:r w:rsidRPr="001F090D">
        <w:rPr>
          <w:rFonts w:cstheme="minorHAnsi"/>
          <w:sz w:val="20"/>
          <w:szCs w:val="20"/>
        </w:rPr>
        <w:t xml:space="preserve">En su oportunidad </w:t>
      </w:r>
      <w:r w:rsidR="004B28E3" w:rsidRPr="001F090D">
        <w:rPr>
          <w:rFonts w:cstheme="minorHAnsi"/>
          <w:sz w:val="20"/>
          <w:szCs w:val="20"/>
        </w:rPr>
        <w:t>l</w:t>
      </w:r>
      <w:r w:rsidR="000D54CC" w:rsidRPr="001F090D">
        <w:rPr>
          <w:rFonts w:cstheme="minorHAnsi"/>
          <w:sz w:val="20"/>
          <w:szCs w:val="20"/>
        </w:rPr>
        <w:t>as personas interesadas p</w:t>
      </w:r>
      <w:r w:rsidR="004B28E3" w:rsidRPr="001F090D">
        <w:rPr>
          <w:rFonts w:cstheme="minorHAnsi"/>
          <w:sz w:val="20"/>
          <w:szCs w:val="20"/>
        </w:rPr>
        <w:t xml:space="preserve">odrán </w:t>
      </w:r>
      <w:r w:rsidR="000D54CC" w:rsidRPr="001F090D">
        <w:rPr>
          <w:rFonts w:cstheme="minorHAnsi"/>
          <w:sz w:val="20"/>
          <w:szCs w:val="20"/>
        </w:rPr>
        <w:t xml:space="preserve">descargar el </w:t>
      </w:r>
      <w:r w:rsidR="004B28E3" w:rsidRPr="001F090D">
        <w:rPr>
          <w:rFonts w:cstheme="minorHAnsi"/>
          <w:sz w:val="20"/>
          <w:szCs w:val="20"/>
        </w:rPr>
        <w:t>d</w:t>
      </w:r>
      <w:r w:rsidR="000D54CC" w:rsidRPr="001F090D">
        <w:rPr>
          <w:rFonts w:cstheme="minorHAnsi"/>
          <w:sz w:val="20"/>
          <w:szCs w:val="20"/>
        </w:rPr>
        <w:t xml:space="preserve">ocumento de </w:t>
      </w:r>
      <w:r w:rsidR="004B28E3" w:rsidRPr="001F090D">
        <w:rPr>
          <w:rFonts w:cstheme="minorHAnsi"/>
          <w:sz w:val="20"/>
          <w:szCs w:val="20"/>
        </w:rPr>
        <w:t>s</w:t>
      </w:r>
      <w:r w:rsidR="000D54CC" w:rsidRPr="001F090D">
        <w:rPr>
          <w:rFonts w:cstheme="minorHAnsi"/>
          <w:sz w:val="20"/>
          <w:szCs w:val="20"/>
        </w:rPr>
        <w:t xml:space="preserve">olicitud, sin ningún costo, a través del enlace siguiente: </w:t>
      </w:r>
      <w:hyperlink r:id="rId10" w:history="1">
        <w:r w:rsidR="000D54CC" w:rsidRPr="001F090D">
          <w:rPr>
            <w:rStyle w:val="Hipervnculo"/>
            <w:rFonts w:cstheme="minorHAnsi"/>
            <w:sz w:val="20"/>
            <w:szCs w:val="20"/>
          </w:rPr>
          <w:t>https://dinac.gob.sv/procesos/</w:t>
        </w:r>
      </w:hyperlink>
    </w:p>
    <w:p w14:paraId="5DC669AE" w14:textId="77777777" w:rsidR="00424F8D" w:rsidRPr="001F090D" w:rsidRDefault="00424F8D" w:rsidP="00C459A1">
      <w:pPr>
        <w:pStyle w:val="Textoindependiente2"/>
        <w:spacing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673CE86" w14:textId="77777777" w:rsidR="00606927" w:rsidRDefault="00606927" w:rsidP="00C459A1">
      <w:pPr>
        <w:pStyle w:val="Textoindependiente2"/>
        <w:spacing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FD10EFB" w14:textId="4FB75929" w:rsidR="00C459A1" w:rsidRPr="001F090D" w:rsidRDefault="001E4CE0" w:rsidP="00D659CF">
      <w:pPr>
        <w:pStyle w:val="Textoindependiente2"/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Distrito de </w:t>
      </w:r>
      <w:r w:rsidR="00C459A1" w:rsidRPr="001F090D">
        <w:rPr>
          <w:rFonts w:asciiTheme="minorHAnsi" w:hAnsiTheme="minorHAnsi" w:cstheme="minorHAnsi"/>
          <w:bCs/>
          <w:sz w:val="20"/>
          <w:szCs w:val="20"/>
        </w:rPr>
        <w:t xml:space="preserve">Santa Tecla, </w:t>
      </w:r>
      <w:r w:rsidR="00D659CF">
        <w:rPr>
          <w:rFonts w:asciiTheme="minorHAnsi" w:hAnsiTheme="minorHAnsi" w:cstheme="minorHAnsi"/>
          <w:bCs/>
          <w:sz w:val="20"/>
          <w:szCs w:val="20"/>
        </w:rPr>
        <w:t>24</w:t>
      </w:r>
      <w:bookmarkStart w:id="0" w:name="_GoBack"/>
      <w:bookmarkEnd w:id="0"/>
      <w:r w:rsidR="00247C48">
        <w:rPr>
          <w:rFonts w:asciiTheme="minorHAnsi" w:hAnsiTheme="minorHAnsi" w:cstheme="minorHAnsi"/>
          <w:bCs/>
          <w:sz w:val="20"/>
          <w:szCs w:val="20"/>
        </w:rPr>
        <w:t xml:space="preserve"> de septiembre</w:t>
      </w:r>
      <w:r w:rsidR="00C459A1" w:rsidRPr="001F090D">
        <w:rPr>
          <w:rFonts w:asciiTheme="minorHAnsi" w:hAnsiTheme="minorHAnsi" w:cstheme="minorHAnsi"/>
          <w:bCs/>
          <w:sz w:val="20"/>
          <w:szCs w:val="20"/>
        </w:rPr>
        <w:t xml:space="preserve"> de 20</w:t>
      </w:r>
      <w:r w:rsidR="002007B2" w:rsidRPr="001F090D"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>4</w:t>
      </w:r>
    </w:p>
    <w:p w14:paraId="323873B3" w14:textId="63BF7AD9" w:rsidR="00C459A1" w:rsidRDefault="00C459A1" w:rsidP="00C459A1">
      <w:pPr>
        <w:pStyle w:val="Textoindependiente2"/>
        <w:spacing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43D8CBCC" w14:textId="77777777" w:rsidR="004128E6" w:rsidRPr="001F090D" w:rsidRDefault="004128E6" w:rsidP="00C459A1">
      <w:pPr>
        <w:pStyle w:val="Textoindependiente2"/>
        <w:spacing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7C71A398" w14:textId="77777777" w:rsidR="004128E6" w:rsidRDefault="004128E6" w:rsidP="00C459A1">
      <w:pPr>
        <w:spacing w:after="0" w:line="240" w:lineRule="auto"/>
        <w:jc w:val="center"/>
        <w:rPr>
          <w:rFonts w:cstheme="minorHAnsi"/>
          <w:bCs/>
          <w:sz w:val="16"/>
          <w:szCs w:val="16"/>
        </w:rPr>
      </w:pPr>
    </w:p>
    <w:p w14:paraId="7EAC219A" w14:textId="77777777" w:rsidR="004128E6" w:rsidRDefault="004128E6" w:rsidP="00C459A1">
      <w:pPr>
        <w:spacing w:after="0" w:line="240" w:lineRule="auto"/>
        <w:jc w:val="center"/>
        <w:rPr>
          <w:rFonts w:cstheme="minorHAnsi"/>
          <w:bCs/>
          <w:sz w:val="16"/>
          <w:szCs w:val="16"/>
        </w:rPr>
      </w:pPr>
    </w:p>
    <w:p w14:paraId="3ABB5C90" w14:textId="2E9E017F" w:rsidR="00C459A1" w:rsidRPr="008424E9" w:rsidRDefault="00C459A1" w:rsidP="00C459A1">
      <w:pPr>
        <w:spacing w:after="0" w:line="240" w:lineRule="auto"/>
        <w:jc w:val="center"/>
        <w:rPr>
          <w:rFonts w:cstheme="minorHAnsi"/>
          <w:bCs/>
          <w:sz w:val="16"/>
          <w:szCs w:val="16"/>
        </w:rPr>
      </w:pPr>
      <w:r w:rsidRPr="008424E9">
        <w:rPr>
          <w:rFonts w:cstheme="minorHAnsi"/>
          <w:bCs/>
          <w:sz w:val="16"/>
          <w:szCs w:val="16"/>
        </w:rPr>
        <w:t>Ministerio de Agricultura y Ganadería</w:t>
      </w:r>
    </w:p>
    <w:p w14:paraId="210488E6" w14:textId="7F127CC6" w:rsidR="004B28E3" w:rsidRPr="008424E9" w:rsidRDefault="004B28E3" w:rsidP="00C459A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8424E9">
        <w:rPr>
          <w:rFonts w:cstheme="minorHAnsi"/>
          <w:sz w:val="16"/>
          <w:szCs w:val="16"/>
        </w:rPr>
        <w:t xml:space="preserve">Dirección de Compras Públicas </w:t>
      </w:r>
    </w:p>
    <w:p w14:paraId="5B3497F7" w14:textId="77777777" w:rsidR="004128E6" w:rsidRDefault="008424E9" w:rsidP="008424E9">
      <w:pPr>
        <w:spacing w:after="0" w:line="240" w:lineRule="auto"/>
        <w:jc w:val="center"/>
        <w:rPr>
          <w:rFonts w:cstheme="minorHAnsi"/>
          <w:bCs/>
          <w:sz w:val="16"/>
          <w:szCs w:val="16"/>
        </w:rPr>
      </w:pPr>
      <w:r w:rsidRPr="008424E9">
        <w:rPr>
          <w:rFonts w:cstheme="minorHAnsi"/>
          <w:bCs/>
          <w:sz w:val="16"/>
          <w:szCs w:val="16"/>
        </w:rPr>
        <w:t xml:space="preserve">Final Primera Avenida Norte, Trece Calle Oriente y Avenida Manuel Gallardo, </w:t>
      </w:r>
    </w:p>
    <w:p w14:paraId="54A07FE0" w14:textId="3628EDB9" w:rsidR="00C459A1" w:rsidRPr="008424E9" w:rsidRDefault="004128E6" w:rsidP="008424E9">
      <w:pPr>
        <w:spacing w:after="0" w:line="240" w:lineRule="auto"/>
        <w:jc w:val="center"/>
        <w:rPr>
          <w:rFonts w:cstheme="minorHAnsi"/>
          <w:b/>
          <w:color w:val="FF0000"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Distrito de Santa Tecla, </w:t>
      </w:r>
      <w:r w:rsidR="008424E9" w:rsidRPr="008424E9">
        <w:rPr>
          <w:rFonts w:cstheme="minorHAnsi"/>
          <w:bCs/>
          <w:sz w:val="16"/>
          <w:szCs w:val="16"/>
        </w:rPr>
        <w:t xml:space="preserve">Municipio de La Libertad </w:t>
      </w:r>
      <w:r w:rsidRPr="008424E9">
        <w:rPr>
          <w:rFonts w:cstheme="minorHAnsi"/>
          <w:bCs/>
          <w:sz w:val="16"/>
          <w:szCs w:val="16"/>
        </w:rPr>
        <w:t xml:space="preserve">Sur, </w:t>
      </w:r>
      <w:r>
        <w:rPr>
          <w:rFonts w:cstheme="minorHAnsi"/>
          <w:bCs/>
          <w:sz w:val="16"/>
          <w:szCs w:val="16"/>
        </w:rPr>
        <w:t>Departamento</w:t>
      </w:r>
      <w:r w:rsidR="008424E9" w:rsidRPr="008424E9">
        <w:rPr>
          <w:rFonts w:cstheme="minorHAnsi"/>
          <w:bCs/>
          <w:sz w:val="16"/>
          <w:szCs w:val="16"/>
        </w:rPr>
        <w:t xml:space="preserve"> de La Libertad</w:t>
      </w:r>
      <w:r w:rsidR="00C459A1" w:rsidRPr="008424E9">
        <w:rPr>
          <w:rFonts w:cstheme="minorHAnsi"/>
          <w:sz w:val="16"/>
          <w:szCs w:val="16"/>
        </w:rPr>
        <w:t>, El Salvador</w:t>
      </w:r>
      <w:r w:rsidR="008424E9">
        <w:rPr>
          <w:rFonts w:cstheme="minorHAnsi"/>
          <w:sz w:val="16"/>
          <w:szCs w:val="16"/>
        </w:rPr>
        <w:t>,</w:t>
      </w:r>
      <w:r w:rsidR="00C459A1" w:rsidRPr="008424E9">
        <w:rPr>
          <w:rFonts w:cstheme="minorHAnsi"/>
          <w:sz w:val="16"/>
          <w:szCs w:val="16"/>
        </w:rPr>
        <w:t xml:space="preserve"> Tel: (503) 22 10 17 90 </w:t>
      </w:r>
    </w:p>
    <w:p w14:paraId="2C56952F" w14:textId="604A9030" w:rsidR="00C459A1" w:rsidRPr="008424E9" w:rsidRDefault="00C459A1" w:rsidP="00C459A1">
      <w:pPr>
        <w:spacing w:after="0" w:line="240" w:lineRule="auto"/>
        <w:jc w:val="center"/>
        <w:rPr>
          <w:rFonts w:cstheme="minorHAnsi"/>
          <w:sz w:val="16"/>
          <w:szCs w:val="16"/>
          <w:u w:val="single"/>
        </w:rPr>
      </w:pPr>
      <w:r w:rsidRPr="008424E9">
        <w:rPr>
          <w:rFonts w:cstheme="minorHAnsi"/>
          <w:sz w:val="16"/>
          <w:szCs w:val="16"/>
        </w:rPr>
        <w:t xml:space="preserve">Página Web: </w:t>
      </w:r>
      <w:hyperlink r:id="rId11" w:history="1">
        <w:r w:rsidRPr="008424E9">
          <w:rPr>
            <w:rStyle w:val="Hipervnculo"/>
            <w:rFonts w:cstheme="minorHAnsi"/>
            <w:sz w:val="16"/>
            <w:szCs w:val="16"/>
          </w:rPr>
          <w:t>www.mag.gob.sv</w:t>
        </w:r>
      </w:hyperlink>
    </w:p>
    <w:p w14:paraId="10A5F9A1" w14:textId="77777777" w:rsidR="00C459A1" w:rsidRPr="008424E9" w:rsidRDefault="00C459A1" w:rsidP="00C459A1">
      <w:pPr>
        <w:spacing w:after="0" w:line="240" w:lineRule="auto"/>
        <w:jc w:val="center"/>
        <w:rPr>
          <w:rFonts w:cstheme="minorHAnsi"/>
          <w:sz w:val="16"/>
          <w:szCs w:val="16"/>
          <w:u w:val="single"/>
        </w:rPr>
      </w:pPr>
    </w:p>
    <w:sectPr w:rsidR="00C459A1" w:rsidRPr="008424E9" w:rsidSect="00C459A1">
      <w:pgSz w:w="12240" w:h="15840"/>
      <w:pgMar w:top="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388C" w14:textId="77777777" w:rsidR="00CA642E" w:rsidRDefault="00CA642E" w:rsidP="00424F8D">
      <w:pPr>
        <w:spacing w:after="0" w:line="240" w:lineRule="auto"/>
      </w:pPr>
      <w:r>
        <w:separator/>
      </w:r>
    </w:p>
  </w:endnote>
  <w:endnote w:type="continuationSeparator" w:id="0">
    <w:p w14:paraId="0EAAA1CB" w14:textId="77777777" w:rsidR="00CA642E" w:rsidRDefault="00CA642E" w:rsidP="0042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52AC6" w14:textId="77777777" w:rsidR="00CA642E" w:rsidRDefault="00CA642E" w:rsidP="00424F8D">
      <w:pPr>
        <w:spacing w:after="0" w:line="240" w:lineRule="auto"/>
      </w:pPr>
      <w:r>
        <w:separator/>
      </w:r>
    </w:p>
  </w:footnote>
  <w:footnote w:type="continuationSeparator" w:id="0">
    <w:p w14:paraId="24C46C45" w14:textId="77777777" w:rsidR="00CA642E" w:rsidRDefault="00CA642E" w:rsidP="00424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A1"/>
    <w:rsid w:val="00086030"/>
    <w:rsid w:val="000A0002"/>
    <w:rsid w:val="000D54CC"/>
    <w:rsid w:val="00137507"/>
    <w:rsid w:val="00156054"/>
    <w:rsid w:val="001A5AB0"/>
    <w:rsid w:val="001E4CE0"/>
    <w:rsid w:val="001F090D"/>
    <w:rsid w:val="002007B2"/>
    <w:rsid w:val="00247C48"/>
    <w:rsid w:val="0026026A"/>
    <w:rsid w:val="002602A3"/>
    <w:rsid w:val="00311FB4"/>
    <w:rsid w:val="003A037D"/>
    <w:rsid w:val="004128E6"/>
    <w:rsid w:val="00424F8D"/>
    <w:rsid w:val="00433FEA"/>
    <w:rsid w:val="004B28E3"/>
    <w:rsid w:val="004F1875"/>
    <w:rsid w:val="00547916"/>
    <w:rsid w:val="00606927"/>
    <w:rsid w:val="00661969"/>
    <w:rsid w:val="006D6681"/>
    <w:rsid w:val="006F7F3C"/>
    <w:rsid w:val="00764C8F"/>
    <w:rsid w:val="007911DA"/>
    <w:rsid w:val="007936C9"/>
    <w:rsid w:val="007A6EF1"/>
    <w:rsid w:val="00802987"/>
    <w:rsid w:val="008424E9"/>
    <w:rsid w:val="00864A7E"/>
    <w:rsid w:val="008C0E1B"/>
    <w:rsid w:val="008C6E72"/>
    <w:rsid w:val="009147E9"/>
    <w:rsid w:val="00921AB8"/>
    <w:rsid w:val="00945374"/>
    <w:rsid w:val="00966FB2"/>
    <w:rsid w:val="009B362E"/>
    <w:rsid w:val="00A057C4"/>
    <w:rsid w:val="00A118E0"/>
    <w:rsid w:val="00A13BB0"/>
    <w:rsid w:val="00AF4A34"/>
    <w:rsid w:val="00B1430C"/>
    <w:rsid w:val="00B16F7E"/>
    <w:rsid w:val="00BC5448"/>
    <w:rsid w:val="00C04FBA"/>
    <w:rsid w:val="00C11A58"/>
    <w:rsid w:val="00C30F62"/>
    <w:rsid w:val="00C36D98"/>
    <w:rsid w:val="00C459A1"/>
    <w:rsid w:val="00CA642E"/>
    <w:rsid w:val="00CB5805"/>
    <w:rsid w:val="00D4506B"/>
    <w:rsid w:val="00D659CF"/>
    <w:rsid w:val="00D74CF9"/>
    <w:rsid w:val="00E7597B"/>
    <w:rsid w:val="00EA6935"/>
    <w:rsid w:val="00FC2FB1"/>
    <w:rsid w:val="00FD3301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DE3F0"/>
  <w15:chartTrackingRefBased/>
  <w15:docId w15:val="{1DD6CDA7-2DC1-48FD-8ED8-3BBB1661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A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459A1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C459A1"/>
    <w:pPr>
      <w:spacing w:after="120" w:line="480" w:lineRule="auto"/>
    </w:pPr>
    <w:rPr>
      <w:rFonts w:ascii="Calibri" w:eastAsia="Calibri" w:hAnsi="Calibri" w:cs="Times New Roman"/>
      <w:lang w:val="es-SV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459A1"/>
    <w:rPr>
      <w:rFonts w:ascii="Calibri" w:eastAsia="Calibri" w:hAnsi="Calibri" w:cs="Times New Roman"/>
    </w:rPr>
  </w:style>
  <w:style w:type="paragraph" w:customStyle="1" w:styleId="Head21">
    <w:name w:val="Head 2.1"/>
    <w:basedOn w:val="Normal"/>
    <w:rsid w:val="00C459A1"/>
    <w:pPr>
      <w:suppressAutoHyphens/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9A1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4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4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ag.gob.s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nac.gob.sv/proces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.gob.sv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5F79-ECF7-401B-87F5-4A3CF1F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gargueta</dc:creator>
  <cp:keywords/>
  <dc:description/>
  <cp:lastModifiedBy>Daysi Cecilia Daboub Jule</cp:lastModifiedBy>
  <cp:revision>28</cp:revision>
  <cp:lastPrinted>2024-08-19T18:51:00Z</cp:lastPrinted>
  <dcterms:created xsi:type="dcterms:W3CDTF">2024-08-19T15:03:00Z</dcterms:created>
  <dcterms:modified xsi:type="dcterms:W3CDTF">2024-09-26T14:01:00Z</dcterms:modified>
</cp:coreProperties>
</file>