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Pr="00FD02EB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FD02EB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Pr="00FD02EB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FD02EB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FD02EB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FD02EB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FD02EB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FD02EB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 w:rsidRPr="00FD02EB">
        <w:rPr>
          <w:rFonts w:ascii="Century Gothic" w:hAnsi="Century Gothic" w:cs="Arial"/>
          <w:b/>
          <w:sz w:val="24"/>
          <w:szCs w:val="24"/>
        </w:rPr>
        <w:t>SUBASTA INVERSA</w:t>
      </w:r>
    </w:p>
    <w:p w14:paraId="619A8677" w14:textId="0562036F" w:rsidR="00E24FB8" w:rsidRPr="00FD02EB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FD02EB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FD02EB" w:rsidRPr="00FD02EB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4B30FE44" w:rsidR="00992FC3" w:rsidRPr="00FD02EB" w:rsidRDefault="00AE09A3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SI-</w:t>
            </w:r>
            <w:r w:rsidR="00952DD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015</w:t>
            </w:r>
            <w:r w:rsidR="00EF325C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202</w:t>
            </w:r>
            <w:r w:rsidR="009E2582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FD02EB" w:rsidRPr="00FD02EB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0BADBE46" w:rsidR="00992FC3" w:rsidRPr="00FD02EB" w:rsidRDefault="00952DDB" w:rsidP="00457346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 xml:space="preserve">ADQUISICIÓN DE LICENCIA DE DISEÑO EN 2D Y 3D SEGUNDA CONVOCATORIA </w:t>
            </w:r>
          </w:p>
        </w:tc>
      </w:tr>
      <w:tr w:rsidR="00FD02EB" w:rsidRPr="00FD02EB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18DFC058" w:rsidR="00992FC3" w:rsidRPr="00FD02EB" w:rsidRDefault="00952DDB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Los días, del 22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mayo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="00AE09A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30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29</w:t>
            </w:r>
            <w:r w:rsidR="003E18DE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3208C0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abril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13:3</w:t>
            </w:r>
            <w:r w:rsidR="001E0A47" w:rsidRPr="00952DD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02EB" w:rsidRPr="00FD02EB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FD02EB" w:rsidRDefault="0010281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2FAD0126" w:rsidR="00102813" w:rsidRPr="00FD02EB" w:rsidRDefault="00102813" w:rsidP="00952DDB">
            <w:pPr>
              <w:jc w:val="both"/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los días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952DD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29</w:t>
            </w:r>
            <w:r w:rsidR="003E18DE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</w:t>
            </w:r>
            <w:r w:rsidR="00952DD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mayo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14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p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 hora oficial de la República de El Salvador (UTC-6:00), mediante el sistema COMPRASAL y es de carácter obligatorio presentar 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FD02EB" w:rsidRPr="00FD02EB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07AD11C5" w:rsidR="00102813" w:rsidRPr="00FD02EB" w:rsidRDefault="00952DDB" w:rsidP="00952DDB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29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mayo</w:t>
            </w:r>
            <w:r w:rsidR="009E7E5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2025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bookmarkStart w:id="0" w:name="_GoBack"/>
            <w:bookmarkEnd w:id="0"/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00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FD02EB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FD02EB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FD02EB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FD02EB">
        <w:rPr>
          <w:rFonts w:ascii="Century Gothic" w:hAnsi="Century Gothic" w:cs="Calibri"/>
          <w:sz w:val="16"/>
          <w:szCs w:val="16"/>
        </w:rPr>
        <w:t>según detalle</w:t>
      </w:r>
      <w:r w:rsidR="003C7080" w:rsidRPr="00FD02EB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FD02EB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54BA3C6D" w:rsidR="00263833" w:rsidRPr="00FD02EB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FD02EB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FD02EB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95709D" w:rsidRPr="00FD02EB">
        <w:rPr>
          <w:rFonts w:ascii="Century Gothic" w:hAnsi="Century Gothic" w:cs="Calibri"/>
          <w:sz w:val="16"/>
          <w:szCs w:val="16"/>
        </w:rPr>
        <w:t xml:space="preserve">; </w:t>
      </w:r>
      <w:r w:rsidR="003E18DE" w:rsidRPr="00FD02EB">
        <w:rPr>
          <w:rFonts w:ascii="Century Gothic" w:hAnsi="Century Gothic" w:cs="Calibri"/>
          <w:sz w:val="16"/>
          <w:szCs w:val="16"/>
        </w:rPr>
        <w:t>desde la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952DDB">
        <w:rPr>
          <w:rFonts w:ascii="Century Gothic" w:hAnsi="Century Gothic" w:cs="Calibri"/>
          <w:sz w:val="16"/>
          <w:szCs w:val="16"/>
        </w:rPr>
        <w:t>15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30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p.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952DD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22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952DD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mayo</w:t>
      </w:r>
      <w:r w:rsidR="00665C7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3F5743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13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:</w:t>
      </w:r>
      <w:r w:rsid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3</w:t>
      </w:r>
      <w:r w:rsidR="00514A2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0 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</w:t>
      </w:r>
      <w:r w:rsidR="00701DCC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.</w:t>
      </w:r>
      <w:r w:rsidR="00C63BF6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m.</w:t>
      </w:r>
      <w:r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del día </w:t>
      </w:r>
      <w:r w:rsidR="00952DDB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29</w:t>
      </w:r>
      <w:r w:rsidR="00665C71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 xml:space="preserve"> de </w:t>
      </w:r>
      <w:r w:rsidR="009E7E50" w:rsidRPr="00952DDB">
        <w:rPr>
          <w:rFonts w:ascii="Century Gothic" w:hAnsi="Century Gothic" w:cs="Calibri"/>
          <w:color w:val="FF0000"/>
          <w:sz w:val="16"/>
          <w:szCs w:val="16"/>
          <w:shd w:val="clear" w:color="auto" w:fill="FFFFFF" w:themeFill="background1"/>
        </w:rPr>
        <w:t>abril</w:t>
      </w:r>
      <w:r w:rsidR="00665C71" w:rsidRPr="00952DDB">
        <w:rPr>
          <w:rFonts w:ascii="Century Gothic" w:hAnsi="Century Gothic" w:cs="Calibri"/>
          <w:color w:val="FF0000"/>
          <w:sz w:val="16"/>
          <w:szCs w:val="16"/>
        </w:rPr>
        <w:t xml:space="preserve"> d</w:t>
      </w:r>
      <w:r w:rsidR="00FC1B13" w:rsidRPr="00952DDB">
        <w:rPr>
          <w:rFonts w:ascii="Century Gothic" w:hAnsi="Century Gothic" w:cs="Calibri"/>
          <w:color w:val="FF0000"/>
          <w:sz w:val="16"/>
          <w:szCs w:val="16"/>
        </w:rPr>
        <w:t>e</w:t>
      </w:r>
      <w:r w:rsidRPr="00952DDB">
        <w:rPr>
          <w:rFonts w:ascii="Century Gothic" w:hAnsi="Century Gothic" w:cs="Calibri"/>
          <w:color w:val="FF0000"/>
          <w:sz w:val="16"/>
          <w:szCs w:val="16"/>
        </w:rPr>
        <w:t xml:space="preserve"> 202</w:t>
      </w:r>
      <w:r w:rsidR="009E7E50" w:rsidRPr="00952DDB">
        <w:rPr>
          <w:rFonts w:ascii="Century Gothic" w:hAnsi="Century Gothic" w:cs="Calibri"/>
          <w:color w:val="FF0000"/>
          <w:sz w:val="16"/>
          <w:szCs w:val="16"/>
        </w:rPr>
        <w:t>5</w:t>
      </w:r>
      <w:r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si al hacer click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“intro”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FD02EB">
        <w:rPr>
          <w:rFonts w:ascii="Century Gothic" w:hAnsi="Century Gothic" w:cs="Calibri"/>
          <w:sz w:val="16"/>
          <w:szCs w:val="16"/>
        </w:rPr>
        <w:t>r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FD02EB">
        <w:rPr>
          <w:rFonts w:ascii="Century Gothic" w:hAnsi="Century Gothic" w:cs="Calibri"/>
          <w:sz w:val="16"/>
          <w:szCs w:val="16"/>
        </w:rPr>
        <w:t>clic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FD02EB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FD02EB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FD02EB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FD02EB">
        <w:rPr>
          <w:rFonts w:ascii="Century Gothic" w:hAnsi="Century Gothic" w:cs="Calibri"/>
          <w:sz w:val="16"/>
          <w:szCs w:val="16"/>
        </w:rPr>
        <w:t>e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C565B2" w:rsidRPr="00FD02EB">
        <w:rPr>
          <w:rFonts w:ascii="Century Gothic" w:hAnsi="Century Gothic" w:cs="Calibri"/>
          <w:sz w:val="16"/>
          <w:szCs w:val="16"/>
        </w:rPr>
        <w:t>.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FD02EB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FD02EB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FD02EB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FD02EB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FD02EB">
        <w:rPr>
          <w:rFonts w:ascii="Century Gothic" w:hAnsi="Century Gothic" w:cs="Calibri"/>
          <w:sz w:val="16"/>
          <w:szCs w:val="16"/>
        </w:rPr>
        <w:t>Gallardo, Edificio</w:t>
      </w:r>
      <w:r w:rsidRPr="00FD02EB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FD02EB">
        <w:rPr>
          <w:rFonts w:ascii="Century Gothic" w:hAnsi="Century Gothic" w:cs="Calibri"/>
          <w:sz w:val="16"/>
          <w:szCs w:val="16"/>
        </w:rPr>
        <w:t>Tercer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FD02EB">
        <w:rPr>
          <w:rFonts w:ascii="Century Gothic" w:hAnsi="Century Gothic" w:cs="Calibri"/>
          <w:sz w:val="16"/>
          <w:szCs w:val="16"/>
        </w:rPr>
        <w:t>Santa Tecla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FD02EB">
        <w:rPr>
          <w:rFonts w:ascii="Century Gothic" w:hAnsi="Century Gothic" w:cs="Calibri"/>
          <w:sz w:val="16"/>
          <w:szCs w:val="16"/>
        </w:rPr>
        <w:t>La Libertad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FD02EB">
        <w:rPr>
          <w:rFonts w:ascii="Century Gothic" w:hAnsi="Century Gothic" w:cs="Calibri"/>
          <w:sz w:val="16"/>
          <w:szCs w:val="16"/>
        </w:rPr>
        <w:t>D</w:t>
      </w:r>
      <w:r w:rsidR="00770405" w:rsidRPr="00FD02EB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FD02EB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FD02EB">
        <w:rPr>
          <w:rFonts w:ascii="Century Gothic" w:hAnsi="Century Gothic" w:cs="Calibri"/>
          <w:sz w:val="16"/>
          <w:szCs w:val="16"/>
        </w:rPr>
        <w:t>;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FD02EB">
        <w:rPr>
          <w:rFonts w:ascii="Century Gothic" w:hAnsi="Century Gothic" w:cs="Calibri"/>
          <w:sz w:val="16"/>
          <w:szCs w:val="16"/>
        </w:rPr>
        <w:t>propuesta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FD02EB">
        <w:rPr>
          <w:rFonts w:ascii="Century Gothic" w:hAnsi="Century Gothic" w:cs="Calibri"/>
          <w:sz w:val="16"/>
          <w:szCs w:val="16"/>
        </w:rPr>
        <w:t>propone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FD02EB">
        <w:rPr>
          <w:rFonts w:ascii="Century Gothic" w:hAnsi="Century Gothic" w:cs="Calibri"/>
          <w:sz w:val="16"/>
          <w:szCs w:val="16"/>
        </w:rPr>
        <w:t>propuesta,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FD02EB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FD02EB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3F40D132" w14:textId="656A67F4" w:rsidR="00457346" w:rsidRPr="00FD02EB" w:rsidRDefault="0045734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728EC44E" w:rsidR="00DA71AA" w:rsidRPr="00FD02EB" w:rsidRDefault="003E537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952DD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22</w:t>
      </w:r>
      <w:r w:rsidR="00417FD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952DDB">
        <w:rPr>
          <w:rFonts w:ascii="Century Gothic" w:hAnsi="Century Gothic" w:cs="Calibri"/>
          <w:b w:val="0"/>
          <w:bCs/>
          <w:sz w:val="16"/>
          <w:szCs w:val="16"/>
          <w:lang w:val="es-SV"/>
        </w:rPr>
        <w:t>mayo</w:t>
      </w:r>
      <w:r w:rsidR="003805E8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53C544D4" w14:textId="77777777" w:rsidR="003F5743" w:rsidRPr="00FD02EB" w:rsidRDefault="003F5743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E22EDFB" w14:textId="092E31DC" w:rsidR="003F5743" w:rsidRPr="00FD02EB" w:rsidRDefault="003F5743" w:rsidP="003F5743">
      <w:pPr>
        <w:spacing w:line="259" w:lineRule="auto"/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>Licda. Angélica María Martínez Olivo</w:t>
      </w:r>
    </w:p>
    <w:p w14:paraId="5D109710" w14:textId="6C9245F8" w:rsidR="003F5743" w:rsidRPr="00FD02EB" w:rsidRDefault="003F5743" w:rsidP="003F5743">
      <w:pPr>
        <w:spacing w:line="259" w:lineRule="auto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 xml:space="preserve">                                                                                      Directora de Compras Públicas</w:t>
      </w:r>
    </w:p>
    <w:p w14:paraId="4DB7DEE6" w14:textId="78834125" w:rsidR="003805E8" w:rsidRPr="00FD02EB" w:rsidRDefault="003F5743" w:rsidP="003F5743">
      <w:pPr>
        <w:pStyle w:val="Head21"/>
        <w:tabs>
          <w:tab w:val="left" w:pos="7020"/>
        </w:tabs>
        <w:spacing w:line="276" w:lineRule="auto"/>
        <w:ind w:left="720"/>
        <w:jc w:val="lef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FD02EB">
        <w:rPr>
          <w:rFonts w:asciiTheme="majorHAnsi" w:hAnsiTheme="majorHAnsi" w:cstheme="majorHAnsi"/>
          <w:b w:val="0"/>
          <w:iCs/>
          <w:sz w:val="18"/>
          <w:szCs w:val="18"/>
        </w:rPr>
        <w:t xml:space="preserve">                                                              Ministerio de Agricultura y Ganadería</w:t>
      </w:r>
    </w:p>
    <w:p w14:paraId="09CF1B0F" w14:textId="77777777" w:rsidR="00DA71AA" w:rsidRPr="00FD02EB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D02EB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D02EB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633D" w14:textId="77777777" w:rsidR="00501F5C" w:rsidRDefault="00501F5C" w:rsidP="00E96A54">
      <w:r>
        <w:separator/>
      </w:r>
    </w:p>
  </w:endnote>
  <w:endnote w:type="continuationSeparator" w:id="0">
    <w:p w14:paraId="35164CFC" w14:textId="77777777" w:rsidR="00501F5C" w:rsidRDefault="00501F5C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E1291" w14:textId="77777777" w:rsidR="00501F5C" w:rsidRDefault="00501F5C" w:rsidP="00E96A54">
      <w:r>
        <w:separator/>
      </w:r>
    </w:p>
  </w:footnote>
  <w:footnote w:type="continuationSeparator" w:id="0">
    <w:p w14:paraId="392C7768" w14:textId="77777777" w:rsidR="00501F5C" w:rsidRDefault="00501F5C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3F5743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1F5C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2DDB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6ABA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02EB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  <w:style w:type="table" w:customStyle="1" w:styleId="TableNormal">
    <w:name w:val="Table Normal"/>
    <w:rsid w:val="003F5743"/>
    <w:pPr>
      <w:spacing w:after="200" w:line="276" w:lineRule="auto"/>
    </w:pPr>
    <w:rPr>
      <w:rFonts w:ascii="Calibri" w:eastAsia="Calibri" w:hAnsi="Calibri" w:cs="Calibri"/>
      <w:sz w:val="22"/>
      <w:szCs w:val="22"/>
      <w:lang w:val="es-SV" w:eastAsia="es-S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EC05D-EF21-4862-8FDB-E5DD26D4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Dorys Beatriz Coto Herrera</cp:lastModifiedBy>
  <cp:revision>2</cp:revision>
  <cp:lastPrinted>2025-04-08T14:30:00Z</cp:lastPrinted>
  <dcterms:created xsi:type="dcterms:W3CDTF">2025-05-22T22:38:00Z</dcterms:created>
  <dcterms:modified xsi:type="dcterms:W3CDTF">2025-05-22T22:38:00Z</dcterms:modified>
</cp:coreProperties>
</file>